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E2533" w14:textId="77777777" w:rsidR="00C90F60" w:rsidRPr="009B77E8" w:rsidRDefault="00735D19" w:rsidP="009B77E8">
      <w:pPr>
        <w:pStyle w:val="BodyText"/>
        <w:widowControl w:val="0"/>
        <w:spacing w:after="0" w:line="359" w:lineRule="auto"/>
        <w:ind w:right="170"/>
        <w:jc w:val="both"/>
        <w:rPr>
          <w:rFonts w:ascii="Calibri" w:eastAsia="Calibri" w:hAnsi="Calibri" w:cs="Iskoola Pota"/>
          <w:b/>
          <w:bCs/>
          <w:sz w:val="28"/>
          <w:szCs w:val="28"/>
          <w:u w:val="single"/>
          <w:lang w:bidi="ar-SA"/>
        </w:rPr>
      </w:pPr>
      <w:bookmarkStart w:id="0" w:name="_GoBack"/>
      <w:bookmarkEnd w:id="0"/>
      <w:r w:rsidRPr="009B77E8">
        <w:rPr>
          <w:rFonts w:ascii="Calibri" w:eastAsia="Calibri" w:hAnsi="Calibri" w:cs="Iskoola Pota"/>
          <w:b/>
          <w:bCs/>
          <w:sz w:val="28"/>
          <w:szCs w:val="28"/>
          <w:u w:val="single"/>
          <w:lang w:bidi="ar-SA"/>
        </w:rPr>
        <w:t>Addendum</w:t>
      </w:r>
      <w:r>
        <w:rPr>
          <w:rFonts w:ascii="Calibri" w:eastAsia="Calibri" w:hAnsi="Calibri" w:cs="Iskoola Pota"/>
          <w:b/>
          <w:bCs/>
          <w:sz w:val="28"/>
          <w:szCs w:val="28"/>
          <w:u w:val="single"/>
          <w:lang w:bidi="ar-SA"/>
        </w:rPr>
        <w:t>:</w:t>
      </w:r>
      <w:r w:rsidR="00BB6F74">
        <w:rPr>
          <w:rFonts w:ascii="Calibri" w:eastAsia="Calibri" w:hAnsi="Calibri" w:cs="Iskoola Pota"/>
          <w:b/>
          <w:bCs/>
          <w:sz w:val="28"/>
          <w:szCs w:val="28"/>
          <w:u w:val="single"/>
          <w:lang w:bidi="ar-SA"/>
        </w:rPr>
        <w:t xml:space="preserve"> No. 01</w:t>
      </w:r>
    </w:p>
    <w:p w14:paraId="1695F091" w14:textId="77777777" w:rsidR="00565C2C" w:rsidRDefault="00565C2C" w:rsidP="007C472E">
      <w:pPr>
        <w:pStyle w:val="BodyText"/>
        <w:widowControl w:val="0"/>
        <w:spacing w:after="0" w:line="359" w:lineRule="auto"/>
        <w:ind w:left="2160" w:right="170" w:firstLine="540"/>
        <w:rPr>
          <w:rFonts w:ascii="Calibri" w:eastAsia="Calibri" w:hAnsi="Calibri" w:cs="Iskoola Pota"/>
          <w:sz w:val="24"/>
          <w:szCs w:val="24"/>
          <w:lang w:bidi="ar-SA"/>
        </w:rPr>
      </w:pPr>
    </w:p>
    <w:tbl>
      <w:tblPr>
        <w:tblStyle w:val="TableGrid"/>
        <w:tblW w:w="13945" w:type="dxa"/>
        <w:tblLayout w:type="fixed"/>
        <w:tblLook w:val="04A0" w:firstRow="1" w:lastRow="0" w:firstColumn="1" w:lastColumn="0" w:noHBand="0" w:noVBand="1"/>
      </w:tblPr>
      <w:tblGrid>
        <w:gridCol w:w="715"/>
        <w:gridCol w:w="1080"/>
        <w:gridCol w:w="6750"/>
        <w:gridCol w:w="5400"/>
      </w:tblGrid>
      <w:tr w:rsidR="00321E41" w14:paraId="2815CAE6" w14:textId="77777777" w:rsidTr="00321E41">
        <w:tc>
          <w:tcPr>
            <w:tcW w:w="715" w:type="dxa"/>
            <w:vAlign w:val="center"/>
          </w:tcPr>
          <w:p w14:paraId="113AB8C1" w14:textId="77777777" w:rsidR="00321E41" w:rsidRPr="003227A7" w:rsidRDefault="00321E41" w:rsidP="003227A7">
            <w:pPr>
              <w:pStyle w:val="BodyText"/>
              <w:widowControl w:val="0"/>
              <w:spacing w:after="0" w:line="359" w:lineRule="auto"/>
              <w:ind w:right="170"/>
              <w:jc w:val="center"/>
              <w:rPr>
                <w:rFonts w:ascii="Calibri" w:eastAsia="Calibri" w:hAnsi="Calibri" w:cs="Iskoola Pota"/>
                <w:b/>
                <w:bCs/>
                <w:sz w:val="24"/>
                <w:szCs w:val="24"/>
                <w:lang w:bidi="ar-SA"/>
              </w:rPr>
            </w:pPr>
            <w:r w:rsidRPr="003227A7">
              <w:rPr>
                <w:rFonts w:ascii="Calibri" w:eastAsia="Calibri" w:hAnsi="Calibri" w:cs="Iskoola Pota"/>
                <w:b/>
                <w:bCs/>
                <w:sz w:val="24"/>
                <w:szCs w:val="24"/>
                <w:lang w:bidi="ar-SA"/>
              </w:rPr>
              <w:t>No</w:t>
            </w:r>
          </w:p>
        </w:tc>
        <w:tc>
          <w:tcPr>
            <w:tcW w:w="1080" w:type="dxa"/>
            <w:vAlign w:val="center"/>
          </w:tcPr>
          <w:p w14:paraId="14CE81EF" w14:textId="77777777" w:rsidR="00321E41" w:rsidRPr="003227A7" w:rsidRDefault="00321E41" w:rsidP="003227A7">
            <w:pPr>
              <w:pStyle w:val="BodyText"/>
              <w:widowControl w:val="0"/>
              <w:spacing w:after="0" w:line="359" w:lineRule="auto"/>
              <w:ind w:right="170"/>
              <w:jc w:val="center"/>
              <w:rPr>
                <w:rFonts w:ascii="Calibri" w:eastAsia="Calibri" w:hAnsi="Calibri" w:cs="Iskoola Pota"/>
                <w:b/>
                <w:bCs/>
                <w:sz w:val="24"/>
                <w:szCs w:val="24"/>
                <w:lang w:bidi="ar-SA"/>
              </w:rPr>
            </w:pPr>
            <w:r w:rsidRPr="003227A7">
              <w:rPr>
                <w:rFonts w:ascii="Calibri" w:eastAsia="Calibri" w:hAnsi="Calibri" w:cs="Iskoola Pota"/>
                <w:b/>
                <w:bCs/>
                <w:sz w:val="24"/>
                <w:szCs w:val="24"/>
                <w:lang w:bidi="ar-SA"/>
              </w:rPr>
              <w:t>Clause</w:t>
            </w:r>
          </w:p>
        </w:tc>
        <w:tc>
          <w:tcPr>
            <w:tcW w:w="6750" w:type="dxa"/>
            <w:vAlign w:val="center"/>
          </w:tcPr>
          <w:p w14:paraId="515B5BAE" w14:textId="77777777" w:rsidR="00321E41" w:rsidRPr="003227A7" w:rsidRDefault="00321E41" w:rsidP="003227A7">
            <w:pPr>
              <w:pStyle w:val="BodyText"/>
              <w:widowControl w:val="0"/>
              <w:spacing w:after="0" w:line="359" w:lineRule="auto"/>
              <w:ind w:right="170"/>
              <w:jc w:val="center"/>
              <w:rPr>
                <w:rFonts w:ascii="Calibri" w:eastAsia="Calibri" w:hAnsi="Calibri" w:cs="Iskoola Pota"/>
                <w:b/>
                <w:bCs/>
                <w:sz w:val="24"/>
                <w:szCs w:val="24"/>
                <w:lang w:bidi="ar-SA"/>
              </w:rPr>
            </w:pPr>
            <w:r>
              <w:rPr>
                <w:rFonts w:ascii="Calibri" w:eastAsia="Calibri" w:hAnsi="Calibri" w:cs="Iskoola Pota"/>
                <w:b/>
                <w:bCs/>
                <w:sz w:val="24"/>
                <w:szCs w:val="24"/>
                <w:lang w:bidi="ar-SA"/>
              </w:rPr>
              <w:t>Existing</w:t>
            </w:r>
            <w:r w:rsidRPr="003227A7">
              <w:rPr>
                <w:rFonts w:ascii="Calibri" w:eastAsia="Calibri" w:hAnsi="Calibri" w:cs="Iskoola Pota"/>
                <w:b/>
                <w:bCs/>
                <w:sz w:val="24"/>
                <w:szCs w:val="24"/>
                <w:lang w:bidi="ar-SA"/>
              </w:rPr>
              <w:t xml:space="preserve"> Clause</w:t>
            </w:r>
          </w:p>
        </w:tc>
        <w:tc>
          <w:tcPr>
            <w:tcW w:w="5400" w:type="dxa"/>
            <w:vAlign w:val="center"/>
          </w:tcPr>
          <w:p w14:paraId="38D90258" w14:textId="77777777" w:rsidR="00321E41" w:rsidRPr="003227A7" w:rsidRDefault="00321E41" w:rsidP="003227A7">
            <w:pPr>
              <w:pStyle w:val="BodyText"/>
              <w:widowControl w:val="0"/>
              <w:spacing w:after="0" w:line="359" w:lineRule="auto"/>
              <w:ind w:right="170"/>
              <w:jc w:val="center"/>
              <w:rPr>
                <w:rFonts w:ascii="Calibri" w:eastAsia="Calibri" w:hAnsi="Calibri" w:cs="Iskoola Pota"/>
                <w:b/>
                <w:bCs/>
                <w:sz w:val="24"/>
                <w:szCs w:val="24"/>
                <w:lang w:bidi="ar-SA"/>
              </w:rPr>
            </w:pPr>
            <w:r w:rsidRPr="003227A7">
              <w:rPr>
                <w:rFonts w:ascii="Calibri" w:eastAsia="Calibri" w:hAnsi="Calibri" w:cs="Iskoola Pota"/>
                <w:b/>
                <w:bCs/>
                <w:sz w:val="24"/>
                <w:szCs w:val="24"/>
                <w:lang w:bidi="ar-SA"/>
              </w:rPr>
              <w:t>Amended Clause</w:t>
            </w:r>
          </w:p>
        </w:tc>
      </w:tr>
      <w:tr w:rsidR="00321E41" w14:paraId="3F83E49C" w14:textId="77777777" w:rsidTr="00321E41">
        <w:trPr>
          <w:trHeight w:val="2150"/>
        </w:trPr>
        <w:tc>
          <w:tcPr>
            <w:tcW w:w="715" w:type="dxa"/>
          </w:tcPr>
          <w:p w14:paraId="25013713" w14:textId="371CB21C" w:rsidR="00321E41" w:rsidRDefault="00321E41" w:rsidP="001A77F5">
            <w:pPr>
              <w:pStyle w:val="BodyText"/>
              <w:widowControl w:val="0"/>
              <w:spacing w:after="0" w:line="359" w:lineRule="auto"/>
              <w:ind w:right="170"/>
              <w:jc w:val="both"/>
              <w:rPr>
                <w:rFonts w:ascii="Calibri" w:eastAsia="Calibri" w:hAnsi="Calibri" w:cs="Iskoola Pota"/>
                <w:sz w:val="24"/>
                <w:szCs w:val="24"/>
                <w:lang w:bidi="ar-SA"/>
              </w:rPr>
            </w:pPr>
            <w:r>
              <w:rPr>
                <w:rFonts w:ascii="Calibri" w:eastAsia="Calibri" w:hAnsi="Calibri" w:cs="Iskoola Pota"/>
                <w:sz w:val="24"/>
                <w:szCs w:val="24"/>
                <w:lang w:bidi="ar-SA"/>
              </w:rPr>
              <w:t>1</w:t>
            </w:r>
          </w:p>
        </w:tc>
        <w:tc>
          <w:tcPr>
            <w:tcW w:w="1080" w:type="dxa"/>
          </w:tcPr>
          <w:p w14:paraId="3AAA92B1" w14:textId="31C0BD29" w:rsidR="00321E41" w:rsidRDefault="00321E41" w:rsidP="00674181">
            <w:pPr>
              <w:pStyle w:val="BodyText"/>
              <w:widowControl w:val="0"/>
              <w:spacing w:after="0" w:line="359" w:lineRule="auto"/>
              <w:ind w:right="170"/>
              <w:jc w:val="center"/>
              <w:rPr>
                <w:rFonts w:ascii="Calibri" w:eastAsia="Calibri" w:hAnsi="Calibri" w:cs="Iskoola Pota"/>
                <w:sz w:val="24"/>
                <w:szCs w:val="24"/>
                <w:lang w:bidi="ar-SA"/>
              </w:rPr>
            </w:pPr>
            <w:r>
              <w:rPr>
                <w:rFonts w:ascii="Calibri" w:eastAsia="Calibri" w:hAnsi="Calibri" w:cs="Iskoola Pota"/>
                <w:sz w:val="24"/>
                <w:szCs w:val="24"/>
                <w:lang w:bidi="ar-SA"/>
              </w:rPr>
              <w:t>1.1</w:t>
            </w:r>
          </w:p>
        </w:tc>
        <w:tc>
          <w:tcPr>
            <w:tcW w:w="6750" w:type="dxa"/>
          </w:tcPr>
          <w:p w14:paraId="176647CC" w14:textId="77777777" w:rsidR="00321E41" w:rsidRDefault="00321E41" w:rsidP="00F94553">
            <w:pPr>
              <w:pStyle w:val="BodyText"/>
              <w:spacing w:after="0" w:line="276" w:lineRule="auto"/>
              <w:ind w:right="172"/>
              <w:jc w:val="both"/>
            </w:pPr>
            <w:r w:rsidRPr="003577AF">
              <w:t xml:space="preserve">Delete </w:t>
            </w:r>
            <w:r>
              <w:t>the following sentence of the 4</w:t>
            </w:r>
            <w:r w:rsidRPr="00321E41">
              <w:rPr>
                <w:vertAlign w:val="superscript"/>
              </w:rPr>
              <w:t>th</w:t>
            </w:r>
            <w:r>
              <w:t xml:space="preserve"> paragraph.</w:t>
            </w:r>
          </w:p>
          <w:p w14:paraId="41143931" w14:textId="77777777" w:rsidR="00321E41" w:rsidRDefault="00321E41" w:rsidP="00F94553">
            <w:pPr>
              <w:pStyle w:val="BodyText"/>
              <w:spacing w:after="0" w:line="276" w:lineRule="auto"/>
              <w:ind w:right="172"/>
              <w:jc w:val="both"/>
            </w:pPr>
          </w:p>
          <w:p w14:paraId="3CCA7262" w14:textId="33408105" w:rsidR="00321E41" w:rsidRPr="00674181" w:rsidRDefault="00321E41" w:rsidP="00F94553">
            <w:pPr>
              <w:pStyle w:val="BodyText"/>
              <w:spacing w:after="0" w:line="276" w:lineRule="auto"/>
              <w:ind w:right="172"/>
              <w:jc w:val="both"/>
              <w:rPr>
                <w:i/>
                <w:iCs/>
              </w:rPr>
            </w:pPr>
            <w:r w:rsidRPr="00674181">
              <w:rPr>
                <w:i/>
                <w:iCs/>
              </w:rPr>
              <w:t>“A drawing is enclosed with the bidding document. However, prior to fabricate, the dimensions shall be validated by the successful bidder with the available sample.”</w:t>
            </w:r>
          </w:p>
        </w:tc>
        <w:tc>
          <w:tcPr>
            <w:tcW w:w="5400" w:type="dxa"/>
          </w:tcPr>
          <w:p w14:paraId="0D892515" w14:textId="77777777" w:rsidR="00321E41" w:rsidRDefault="00321E41" w:rsidP="00F94553">
            <w:pPr>
              <w:pStyle w:val="BodyText"/>
              <w:spacing w:line="276" w:lineRule="auto"/>
              <w:ind w:right="172"/>
              <w:jc w:val="both"/>
            </w:pPr>
            <w:r w:rsidRPr="003577AF">
              <w:t xml:space="preserve">Insert </w:t>
            </w:r>
            <w:r>
              <w:t>following paragraph as the 4</w:t>
            </w:r>
            <w:r w:rsidRPr="00321E41">
              <w:rPr>
                <w:vertAlign w:val="superscript"/>
              </w:rPr>
              <w:t>th</w:t>
            </w:r>
            <w:r>
              <w:t xml:space="preserve"> para of the section 1.1</w:t>
            </w:r>
          </w:p>
          <w:p w14:paraId="3D92EA86" w14:textId="0818D689" w:rsidR="00321E41" w:rsidRPr="00674181" w:rsidRDefault="00321E41" w:rsidP="00F94553">
            <w:pPr>
              <w:pStyle w:val="BodyText"/>
              <w:spacing w:line="276" w:lineRule="auto"/>
              <w:ind w:right="172"/>
              <w:jc w:val="both"/>
              <w:rPr>
                <w:i/>
                <w:iCs/>
              </w:rPr>
            </w:pPr>
            <w:r w:rsidRPr="00674181">
              <w:rPr>
                <w:i/>
                <w:iCs/>
              </w:rPr>
              <w:t xml:space="preserve">“A drawing is enclosed with the bidding document. However, prior to fabricate, the dimensions shall be validated by the successful bidder with the available sample and visiting the </w:t>
            </w:r>
            <w:proofErr w:type="spellStart"/>
            <w:r w:rsidRPr="00674181">
              <w:rPr>
                <w:i/>
                <w:iCs/>
              </w:rPr>
              <w:t>Trincomalee</w:t>
            </w:r>
            <w:proofErr w:type="spellEnd"/>
            <w:r w:rsidRPr="00674181">
              <w:rPr>
                <w:i/>
                <w:iCs/>
              </w:rPr>
              <w:t xml:space="preserve"> Site”</w:t>
            </w:r>
          </w:p>
        </w:tc>
      </w:tr>
      <w:tr w:rsidR="00321E41" w14:paraId="0920BCAA" w14:textId="77777777" w:rsidTr="00321E41">
        <w:trPr>
          <w:trHeight w:val="2150"/>
        </w:trPr>
        <w:tc>
          <w:tcPr>
            <w:tcW w:w="715" w:type="dxa"/>
          </w:tcPr>
          <w:p w14:paraId="1957AEBA" w14:textId="47F28E5D" w:rsidR="00321E41" w:rsidRDefault="00321E41" w:rsidP="001A77F5">
            <w:pPr>
              <w:pStyle w:val="BodyText"/>
              <w:widowControl w:val="0"/>
              <w:spacing w:after="0" w:line="359" w:lineRule="auto"/>
              <w:ind w:right="170"/>
              <w:jc w:val="both"/>
              <w:rPr>
                <w:rFonts w:ascii="Calibri" w:eastAsia="Calibri" w:hAnsi="Calibri" w:cs="Iskoola Pota"/>
                <w:sz w:val="24"/>
                <w:szCs w:val="24"/>
                <w:lang w:bidi="ar-SA"/>
              </w:rPr>
            </w:pPr>
            <w:r>
              <w:rPr>
                <w:rFonts w:ascii="Calibri" w:eastAsia="Calibri" w:hAnsi="Calibri" w:cs="Iskoola Pota"/>
                <w:sz w:val="24"/>
                <w:szCs w:val="24"/>
                <w:lang w:bidi="ar-SA"/>
              </w:rPr>
              <w:t>2</w:t>
            </w:r>
          </w:p>
        </w:tc>
        <w:tc>
          <w:tcPr>
            <w:tcW w:w="1080" w:type="dxa"/>
          </w:tcPr>
          <w:p w14:paraId="53D6DB2E" w14:textId="0B24D2F5" w:rsidR="00321E41" w:rsidRDefault="00321E41" w:rsidP="00674181">
            <w:pPr>
              <w:pStyle w:val="BodyText"/>
              <w:widowControl w:val="0"/>
              <w:spacing w:after="0" w:line="359" w:lineRule="auto"/>
              <w:ind w:right="170"/>
              <w:jc w:val="center"/>
              <w:rPr>
                <w:rFonts w:ascii="Calibri" w:eastAsia="Calibri" w:hAnsi="Calibri" w:cs="Iskoola Pota"/>
                <w:sz w:val="24"/>
                <w:szCs w:val="24"/>
                <w:lang w:bidi="ar-SA"/>
              </w:rPr>
            </w:pPr>
            <w:r>
              <w:rPr>
                <w:rFonts w:ascii="Calibri" w:eastAsia="Calibri" w:hAnsi="Calibri" w:cs="Iskoola Pota"/>
                <w:sz w:val="24"/>
                <w:szCs w:val="24"/>
                <w:lang w:bidi="ar-SA"/>
              </w:rPr>
              <w:t>1.2</w:t>
            </w:r>
          </w:p>
        </w:tc>
        <w:tc>
          <w:tcPr>
            <w:tcW w:w="6750" w:type="dxa"/>
          </w:tcPr>
          <w:p w14:paraId="5FF56170" w14:textId="77777777" w:rsidR="00321E41" w:rsidRDefault="00321E41" w:rsidP="00F94553">
            <w:pPr>
              <w:pStyle w:val="BodyText"/>
              <w:spacing w:after="0" w:line="276" w:lineRule="auto"/>
              <w:ind w:right="172"/>
              <w:jc w:val="both"/>
            </w:pPr>
            <w:r>
              <w:t>Delete the following section;</w:t>
            </w:r>
          </w:p>
          <w:p w14:paraId="3E560041" w14:textId="77777777" w:rsidR="00321E41" w:rsidRDefault="00321E41" w:rsidP="00F94553">
            <w:pPr>
              <w:pStyle w:val="BodyText"/>
              <w:spacing w:after="0" w:line="276" w:lineRule="auto"/>
              <w:ind w:right="172"/>
              <w:jc w:val="both"/>
            </w:pPr>
          </w:p>
          <w:p w14:paraId="3C283523" w14:textId="52BA62D9" w:rsidR="00321E41" w:rsidRPr="00674181" w:rsidRDefault="00321E41" w:rsidP="00321E41">
            <w:pPr>
              <w:pStyle w:val="BodyText"/>
              <w:spacing w:after="0" w:line="276" w:lineRule="auto"/>
              <w:ind w:right="172"/>
              <w:jc w:val="both"/>
              <w:rPr>
                <w:i/>
                <w:iCs/>
              </w:rPr>
            </w:pPr>
            <w:r w:rsidRPr="00674181">
              <w:rPr>
                <w:i/>
                <w:iCs/>
              </w:rPr>
              <w:t xml:space="preserve">“In order to seal the storage tanks, 04 manhole covers shall be used per tank with gaskets. Contractor shall Supply 20 Numbers of Elliptical Manhole covers and, each manhole cover shall be comprised with 02 Yokes, 02 Nuts and 02 Bolts &amp; 01 Nos. Gasket (Material: </w:t>
            </w:r>
            <w:proofErr w:type="spellStart"/>
            <w:r w:rsidRPr="00674181">
              <w:rPr>
                <w:i/>
                <w:iCs/>
              </w:rPr>
              <w:t>Klingersil</w:t>
            </w:r>
            <w:proofErr w:type="spellEnd"/>
            <w:r w:rsidRPr="00674181">
              <w:rPr>
                <w:i/>
                <w:iCs/>
              </w:rPr>
              <w:t xml:space="preserve"> K-1000 gasket 2.5mm thickness).</w:t>
            </w:r>
          </w:p>
          <w:p w14:paraId="6D8B4EFD" w14:textId="480CFF7C" w:rsidR="00321E41" w:rsidRPr="00674181" w:rsidRDefault="00321E41" w:rsidP="00321E41">
            <w:pPr>
              <w:pStyle w:val="BodyText"/>
              <w:numPr>
                <w:ilvl w:val="0"/>
                <w:numId w:val="4"/>
              </w:numPr>
              <w:spacing w:after="0" w:line="276" w:lineRule="auto"/>
              <w:ind w:right="172"/>
              <w:jc w:val="both"/>
              <w:rPr>
                <w:i/>
                <w:iCs/>
              </w:rPr>
            </w:pPr>
            <w:r w:rsidRPr="00674181">
              <w:rPr>
                <w:i/>
                <w:iCs/>
              </w:rPr>
              <w:t>If the manholes are casted, the quality management program shall be provided</w:t>
            </w:r>
          </w:p>
          <w:p w14:paraId="1462207F" w14:textId="77777777" w:rsidR="00321E41" w:rsidRPr="00674181" w:rsidRDefault="00321E41" w:rsidP="00321E41">
            <w:pPr>
              <w:pStyle w:val="BodyText"/>
              <w:spacing w:after="0" w:line="276" w:lineRule="auto"/>
              <w:ind w:right="172"/>
              <w:jc w:val="both"/>
              <w:rPr>
                <w:i/>
                <w:iCs/>
              </w:rPr>
            </w:pPr>
            <w:r w:rsidRPr="00674181">
              <w:rPr>
                <w:i/>
                <w:iCs/>
              </w:rPr>
              <w:t>&amp;</w:t>
            </w:r>
          </w:p>
          <w:p w14:paraId="0345C217" w14:textId="77777777" w:rsidR="00321E41" w:rsidRPr="00674181" w:rsidRDefault="00321E41" w:rsidP="00321E41">
            <w:pPr>
              <w:pStyle w:val="BodyText"/>
              <w:numPr>
                <w:ilvl w:val="0"/>
                <w:numId w:val="4"/>
              </w:numPr>
              <w:spacing w:after="0" w:line="276" w:lineRule="auto"/>
              <w:ind w:right="172"/>
              <w:jc w:val="both"/>
              <w:rPr>
                <w:i/>
                <w:iCs/>
              </w:rPr>
            </w:pPr>
            <w:r w:rsidRPr="00674181">
              <w:rPr>
                <w:i/>
                <w:iCs/>
              </w:rPr>
              <w:t>If the Manholes covers are fabricated by carbon steel, Design calculation shall be provided.</w:t>
            </w:r>
          </w:p>
          <w:p w14:paraId="7EE19EA7" w14:textId="655B868D" w:rsidR="00321E41" w:rsidRPr="00674181" w:rsidRDefault="00321E41" w:rsidP="00321E41">
            <w:pPr>
              <w:pStyle w:val="BodyText"/>
              <w:numPr>
                <w:ilvl w:val="0"/>
                <w:numId w:val="4"/>
              </w:numPr>
              <w:spacing w:after="0" w:line="276" w:lineRule="auto"/>
              <w:ind w:right="172"/>
              <w:jc w:val="both"/>
              <w:rPr>
                <w:i/>
                <w:iCs/>
              </w:rPr>
            </w:pPr>
            <w:r w:rsidRPr="00674181">
              <w:rPr>
                <w:i/>
                <w:iCs/>
              </w:rPr>
              <w:t xml:space="preserve"> However, either in </w:t>
            </w:r>
            <w:proofErr w:type="gramStart"/>
            <w:r w:rsidRPr="00674181">
              <w:rPr>
                <w:i/>
                <w:iCs/>
              </w:rPr>
              <w:t>both casting or</w:t>
            </w:r>
            <w:proofErr w:type="gramEnd"/>
            <w:r w:rsidRPr="00674181">
              <w:rPr>
                <w:i/>
                <w:iCs/>
              </w:rPr>
              <w:t xml:space="preserve"> carbon steel fabrication, the design shall be certified by a Charted Mechanical Engineer.</w:t>
            </w:r>
          </w:p>
          <w:p w14:paraId="74A343BB" w14:textId="64E1538C" w:rsidR="00321E41" w:rsidRPr="003577AF" w:rsidRDefault="00321E41" w:rsidP="00321E41">
            <w:pPr>
              <w:pStyle w:val="BodyText"/>
              <w:spacing w:after="0" w:line="276" w:lineRule="auto"/>
              <w:ind w:right="172"/>
              <w:jc w:val="both"/>
            </w:pPr>
            <w:r w:rsidRPr="00674181">
              <w:rPr>
                <w:i/>
                <w:iCs/>
              </w:rPr>
              <w:t>Initially, only Four (4) manhole cover units shall be supplied. Once the hydraulic testing for a one particular tank is completed using the supplied covers, the balance sixteen (16) units shall be fabricated &amp; supplied.”</w:t>
            </w:r>
          </w:p>
        </w:tc>
        <w:tc>
          <w:tcPr>
            <w:tcW w:w="5400" w:type="dxa"/>
          </w:tcPr>
          <w:p w14:paraId="3E0946AE" w14:textId="77777777" w:rsidR="00321E41" w:rsidRDefault="00321E41" w:rsidP="00F94553">
            <w:pPr>
              <w:pStyle w:val="BodyText"/>
              <w:spacing w:line="276" w:lineRule="auto"/>
              <w:ind w:right="172"/>
              <w:jc w:val="both"/>
            </w:pPr>
            <w:r>
              <w:t>Insert following section as the section 1.2</w:t>
            </w:r>
          </w:p>
          <w:p w14:paraId="70203DC5" w14:textId="77777777" w:rsidR="00826226" w:rsidRDefault="00826226" w:rsidP="00826226">
            <w:pPr>
              <w:pStyle w:val="BodyText"/>
              <w:spacing w:after="0" w:line="276" w:lineRule="auto"/>
              <w:ind w:right="172"/>
              <w:jc w:val="both"/>
            </w:pPr>
          </w:p>
          <w:p w14:paraId="6FC17FB9" w14:textId="3CAB513F" w:rsidR="00826226" w:rsidRDefault="00826226" w:rsidP="00826226">
            <w:pPr>
              <w:pStyle w:val="BodyText"/>
              <w:spacing w:after="0" w:line="276" w:lineRule="auto"/>
              <w:ind w:right="172"/>
              <w:jc w:val="both"/>
              <w:rPr>
                <w:i/>
                <w:iCs/>
              </w:rPr>
            </w:pPr>
            <w:r w:rsidRPr="00674181">
              <w:rPr>
                <w:i/>
                <w:iCs/>
              </w:rPr>
              <w:t>“In order to seal the storage tanks, 04 manhole covers shall be used per tank with gaskets. Contractor shall Supply 20 Numbers of Elliptical Manhole covers</w:t>
            </w:r>
            <w:r w:rsidR="00327F29" w:rsidRPr="00674181">
              <w:rPr>
                <w:i/>
                <w:iCs/>
              </w:rPr>
              <w:t xml:space="preserve"> (25mm thickness)</w:t>
            </w:r>
            <w:r w:rsidRPr="00674181">
              <w:rPr>
                <w:i/>
                <w:iCs/>
              </w:rPr>
              <w:t xml:space="preserve"> and, each manhole cover shall be comprised with 02 Yokes, 02 Nuts and 02 Bolts &amp; 01 Nos. Gasket (Material: </w:t>
            </w:r>
            <w:proofErr w:type="spellStart"/>
            <w:r w:rsidRPr="00674181">
              <w:rPr>
                <w:i/>
                <w:iCs/>
              </w:rPr>
              <w:t>Klingersil</w:t>
            </w:r>
            <w:proofErr w:type="spellEnd"/>
            <w:r w:rsidRPr="00674181">
              <w:rPr>
                <w:i/>
                <w:iCs/>
              </w:rPr>
              <w:t xml:space="preserve"> K-1000 gasket 2.5mm thickness).</w:t>
            </w:r>
          </w:p>
          <w:p w14:paraId="0799A717" w14:textId="77777777" w:rsidR="00120D0A" w:rsidRDefault="00120D0A" w:rsidP="00120D0A">
            <w:pPr>
              <w:pStyle w:val="BodyText"/>
              <w:spacing w:after="0" w:line="276" w:lineRule="auto"/>
              <w:ind w:right="172"/>
              <w:jc w:val="both"/>
              <w:rPr>
                <w:i/>
                <w:iCs/>
              </w:rPr>
            </w:pPr>
          </w:p>
          <w:p w14:paraId="65D92DF4" w14:textId="50DB4958" w:rsidR="00826226" w:rsidRPr="00120D0A" w:rsidRDefault="00120D0A" w:rsidP="00120D0A">
            <w:pPr>
              <w:pStyle w:val="BodyText"/>
              <w:spacing w:after="0" w:line="276" w:lineRule="auto"/>
              <w:ind w:right="172"/>
              <w:jc w:val="both"/>
              <w:rPr>
                <w:i/>
                <w:iCs/>
              </w:rPr>
            </w:pPr>
            <w:r w:rsidRPr="00120D0A">
              <w:rPr>
                <w:i/>
                <w:iCs/>
              </w:rPr>
              <w:t xml:space="preserve">Prior to fabricate </w:t>
            </w:r>
            <w:r w:rsidR="00826226" w:rsidRPr="00120D0A">
              <w:rPr>
                <w:i/>
                <w:iCs/>
              </w:rPr>
              <w:t>Manholes covers</w:t>
            </w:r>
            <w:r w:rsidRPr="00120D0A">
              <w:rPr>
                <w:i/>
                <w:iCs/>
              </w:rPr>
              <w:t xml:space="preserve">, a </w:t>
            </w:r>
            <w:r w:rsidR="00826226" w:rsidRPr="00120D0A">
              <w:rPr>
                <w:i/>
                <w:iCs/>
              </w:rPr>
              <w:t xml:space="preserve">Design calculation </w:t>
            </w:r>
            <w:r w:rsidRPr="00120D0A">
              <w:rPr>
                <w:i/>
                <w:iCs/>
              </w:rPr>
              <w:t xml:space="preserve">certified by a Chartered Mechanical Engineer shall be submitted for the approval of CPC. </w:t>
            </w:r>
          </w:p>
          <w:p w14:paraId="74247C17" w14:textId="77777777" w:rsidR="00327F29" w:rsidRPr="00674181" w:rsidRDefault="00327F29" w:rsidP="00327F29">
            <w:pPr>
              <w:pStyle w:val="BodyText"/>
              <w:spacing w:after="0" w:line="276" w:lineRule="auto"/>
              <w:ind w:left="720" w:right="172"/>
              <w:jc w:val="both"/>
              <w:rPr>
                <w:i/>
                <w:iCs/>
              </w:rPr>
            </w:pPr>
          </w:p>
          <w:p w14:paraId="052AA66C" w14:textId="3BD0839B" w:rsidR="00327F29" w:rsidRPr="00674181" w:rsidRDefault="00327F29" w:rsidP="00327F29">
            <w:pPr>
              <w:pStyle w:val="BodyText"/>
              <w:spacing w:after="0" w:line="276" w:lineRule="auto"/>
              <w:ind w:right="172"/>
              <w:jc w:val="both"/>
              <w:rPr>
                <w:b/>
                <w:bCs/>
                <w:i/>
                <w:iCs/>
              </w:rPr>
            </w:pPr>
            <w:r w:rsidRPr="00674181">
              <w:rPr>
                <w:b/>
                <w:bCs/>
                <w:i/>
                <w:iCs/>
              </w:rPr>
              <w:t>Fabrication Materials:</w:t>
            </w:r>
          </w:p>
          <w:p w14:paraId="75770F47" w14:textId="4829D08F" w:rsidR="00327F29" w:rsidRPr="00674181" w:rsidRDefault="00327F29" w:rsidP="00327F29">
            <w:pPr>
              <w:pStyle w:val="BodyText"/>
              <w:numPr>
                <w:ilvl w:val="0"/>
                <w:numId w:val="5"/>
              </w:numPr>
              <w:spacing w:after="0" w:line="276" w:lineRule="auto"/>
              <w:ind w:left="344" w:right="172" w:hanging="254"/>
              <w:jc w:val="both"/>
              <w:rPr>
                <w:i/>
                <w:iCs/>
              </w:rPr>
            </w:pPr>
            <w:r w:rsidRPr="00674181">
              <w:rPr>
                <w:i/>
                <w:iCs/>
              </w:rPr>
              <w:t xml:space="preserve">Manhole Cover/Yokes: ASTM </w:t>
            </w:r>
            <w:r w:rsidR="00674181" w:rsidRPr="00674181">
              <w:rPr>
                <w:i/>
                <w:iCs/>
              </w:rPr>
              <w:t>A</w:t>
            </w:r>
            <w:r w:rsidRPr="00674181">
              <w:rPr>
                <w:i/>
                <w:iCs/>
              </w:rPr>
              <w:t>283 Grade C or equivalent</w:t>
            </w:r>
          </w:p>
          <w:p w14:paraId="003347C4" w14:textId="5381A2EC" w:rsidR="00327F29" w:rsidRDefault="00327F29" w:rsidP="00327F29">
            <w:pPr>
              <w:pStyle w:val="BodyText"/>
              <w:numPr>
                <w:ilvl w:val="0"/>
                <w:numId w:val="5"/>
              </w:numPr>
              <w:spacing w:after="0" w:line="276" w:lineRule="auto"/>
              <w:ind w:left="344" w:right="172" w:hanging="254"/>
              <w:jc w:val="both"/>
              <w:rPr>
                <w:i/>
                <w:iCs/>
              </w:rPr>
            </w:pPr>
            <w:r w:rsidRPr="00674181">
              <w:rPr>
                <w:i/>
                <w:iCs/>
              </w:rPr>
              <w:t>Bolt: ASTM</w:t>
            </w:r>
            <w:r w:rsidR="00797BD3">
              <w:rPr>
                <w:i/>
                <w:iCs/>
              </w:rPr>
              <w:t xml:space="preserve"> A193 B7</w:t>
            </w:r>
            <w:r w:rsidRPr="00674181">
              <w:rPr>
                <w:i/>
                <w:iCs/>
              </w:rPr>
              <w:t xml:space="preserve"> or equivalent</w:t>
            </w:r>
          </w:p>
          <w:p w14:paraId="46F0E90C" w14:textId="07D57071" w:rsidR="00A30597" w:rsidRPr="00674181" w:rsidRDefault="00A30597" w:rsidP="00327F29">
            <w:pPr>
              <w:pStyle w:val="BodyText"/>
              <w:numPr>
                <w:ilvl w:val="0"/>
                <w:numId w:val="5"/>
              </w:numPr>
              <w:spacing w:after="0" w:line="276" w:lineRule="auto"/>
              <w:ind w:left="344" w:right="172" w:hanging="254"/>
              <w:jc w:val="both"/>
              <w:rPr>
                <w:i/>
                <w:iCs/>
              </w:rPr>
            </w:pPr>
            <w:r>
              <w:rPr>
                <w:i/>
                <w:iCs/>
              </w:rPr>
              <w:t>Nut: ASTM A194 2H Heavy Hex Nut</w:t>
            </w:r>
            <w:r w:rsidR="00790637">
              <w:rPr>
                <w:i/>
                <w:iCs/>
              </w:rPr>
              <w:t xml:space="preserve"> or equivalent</w:t>
            </w:r>
          </w:p>
          <w:p w14:paraId="65389091" w14:textId="1BFAFE10" w:rsidR="00327F29" w:rsidRPr="00674181" w:rsidRDefault="00327F29" w:rsidP="00327F29">
            <w:pPr>
              <w:pStyle w:val="BodyText"/>
              <w:numPr>
                <w:ilvl w:val="0"/>
                <w:numId w:val="5"/>
              </w:numPr>
              <w:spacing w:after="0" w:line="276" w:lineRule="auto"/>
              <w:ind w:left="344" w:right="172" w:hanging="254"/>
              <w:jc w:val="both"/>
              <w:rPr>
                <w:i/>
                <w:iCs/>
              </w:rPr>
            </w:pPr>
            <w:r w:rsidRPr="00674181">
              <w:rPr>
                <w:i/>
                <w:iCs/>
              </w:rPr>
              <w:lastRenderedPageBreak/>
              <w:t xml:space="preserve">Gasket: </w:t>
            </w:r>
            <w:proofErr w:type="spellStart"/>
            <w:r w:rsidRPr="00674181">
              <w:rPr>
                <w:i/>
                <w:iCs/>
              </w:rPr>
              <w:t>Klingersil</w:t>
            </w:r>
            <w:proofErr w:type="spellEnd"/>
            <w:r w:rsidRPr="00674181">
              <w:rPr>
                <w:i/>
                <w:iCs/>
              </w:rPr>
              <w:t xml:space="preserve"> K-1000 gasket 2.5mm thickness or equivalent</w:t>
            </w:r>
          </w:p>
          <w:p w14:paraId="2946748A" w14:textId="77777777" w:rsidR="00327F29" w:rsidRPr="00674181" w:rsidRDefault="00327F29" w:rsidP="00327F29">
            <w:pPr>
              <w:pStyle w:val="BodyText"/>
              <w:spacing w:after="0" w:line="276" w:lineRule="auto"/>
              <w:ind w:right="172"/>
              <w:jc w:val="both"/>
              <w:rPr>
                <w:i/>
                <w:iCs/>
              </w:rPr>
            </w:pPr>
          </w:p>
          <w:p w14:paraId="69E0CA65" w14:textId="22475C45" w:rsidR="00826226" w:rsidRPr="00674181" w:rsidRDefault="00826226" w:rsidP="00826226">
            <w:pPr>
              <w:pStyle w:val="BodyText"/>
              <w:spacing w:line="276" w:lineRule="auto"/>
              <w:ind w:right="172"/>
              <w:jc w:val="both"/>
              <w:rPr>
                <w:i/>
                <w:iCs/>
              </w:rPr>
            </w:pPr>
            <w:r w:rsidRPr="00674181">
              <w:rPr>
                <w:i/>
                <w:iCs/>
              </w:rPr>
              <w:t>Initially, only Four (4) manhole cover units shall be supplied. Once the hydraulic testing for one particular tank is completed using the supplied covers, the balance sixteen (16) units shall be fabricated &amp; supplied.”</w:t>
            </w:r>
          </w:p>
          <w:p w14:paraId="366A5CD6" w14:textId="5D76EFC3" w:rsidR="00321E41" w:rsidRPr="003577AF" w:rsidRDefault="00321E41" w:rsidP="00F94553">
            <w:pPr>
              <w:pStyle w:val="BodyText"/>
              <w:spacing w:line="276" w:lineRule="auto"/>
              <w:ind w:right="172"/>
              <w:jc w:val="both"/>
            </w:pPr>
          </w:p>
        </w:tc>
      </w:tr>
      <w:tr w:rsidR="00321E41" w14:paraId="651062EF" w14:textId="77777777" w:rsidTr="00321E41">
        <w:trPr>
          <w:trHeight w:val="2150"/>
        </w:trPr>
        <w:tc>
          <w:tcPr>
            <w:tcW w:w="715" w:type="dxa"/>
          </w:tcPr>
          <w:p w14:paraId="0D406C2F" w14:textId="1358AA2B" w:rsidR="00321E41" w:rsidRDefault="00327F29" w:rsidP="001A77F5">
            <w:pPr>
              <w:pStyle w:val="BodyText"/>
              <w:widowControl w:val="0"/>
              <w:spacing w:after="0" w:line="359" w:lineRule="auto"/>
              <w:ind w:right="170"/>
              <w:jc w:val="both"/>
              <w:rPr>
                <w:rFonts w:ascii="Calibri" w:eastAsia="Calibri" w:hAnsi="Calibri" w:cs="Iskoola Pota"/>
                <w:sz w:val="24"/>
                <w:szCs w:val="24"/>
                <w:lang w:bidi="ar-SA"/>
              </w:rPr>
            </w:pPr>
            <w:r>
              <w:rPr>
                <w:rFonts w:ascii="Calibri" w:eastAsia="Calibri" w:hAnsi="Calibri" w:cs="Iskoola Pota"/>
                <w:sz w:val="24"/>
                <w:szCs w:val="24"/>
                <w:lang w:bidi="ar-SA"/>
              </w:rPr>
              <w:lastRenderedPageBreak/>
              <w:t>3</w:t>
            </w:r>
          </w:p>
        </w:tc>
        <w:tc>
          <w:tcPr>
            <w:tcW w:w="1080" w:type="dxa"/>
          </w:tcPr>
          <w:p w14:paraId="7B830470" w14:textId="57CB6D88" w:rsidR="00321E41" w:rsidRDefault="00327F29" w:rsidP="00674181">
            <w:pPr>
              <w:pStyle w:val="BodyText"/>
              <w:widowControl w:val="0"/>
              <w:spacing w:after="0" w:line="359" w:lineRule="auto"/>
              <w:ind w:right="170"/>
              <w:jc w:val="center"/>
              <w:rPr>
                <w:rFonts w:ascii="Calibri" w:eastAsia="Calibri" w:hAnsi="Calibri" w:cs="Iskoola Pota"/>
                <w:sz w:val="24"/>
                <w:szCs w:val="24"/>
                <w:lang w:bidi="ar-SA"/>
              </w:rPr>
            </w:pPr>
            <w:r>
              <w:rPr>
                <w:rFonts w:ascii="Calibri" w:eastAsia="Calibri" w:hAnsi="Calibri" w:cs="Iskoola Pota"/>
                <w:sz w:val="24"/>
                <w:szCs w:val="24"/>
                <w:lang w:bidi="ar-SA"/>
              </w:rPr>
              <w:t>2.2</w:t>
            </w:r>
          </w:p>
        </w:tc>
        <w:tc>
          <w:tcPr>
            <w:tcW w:w="6750" w:type="dxa"/>
          </w:tcPr>
          <w:p w14:paraId="23278928" w14:textId="2D559B0B" w:rsidR="00321E41" w:rsidRDefault="00327F29" w:rsidP="00F94553">
            <w:pPr>
              <w:pStyle w:val="BodyText"/>
              <w:spacing w:after="0" w:line="276" w:lineRule="auto"/>
              <w:ind w:right="172"/>
              <w:jc w:val="both"/>
            </w:pPr>
            <w:r>
              <w:t xml:space="preserve">Delete </w:t>
            </w:r>
            <w:r w:rsidR="00674181">
              <w:t xml:space="preserve">the </w:t>
            </w:r>
            <w:r>
              <w:t xml:space="preserve">following </w:t>
            </w:r>
            <w:r w:rsidR="00674181">
              <w:t>sentence in 2.2</w:t>
            </w:r>
          </w:p>
          <w:p w14:paraId="3BA0D4CD" w14:textId="77777777" w:rsidR="00674181" w:rsidRDefault="00674181" w:rsidP="00F94553">
            <w:pPr>
              <w:pStyle w:val="BodyText"/>
              <w:spacing w:after="0" w:line="276" w:lineRule="auto"/>
              <w:ind w:right="172"/>
              <w:jc w:val="both"/>
            </w:pPr>
          </w:p>
          <w:p w14:paraId="6C4E33D2" w14:textId="69845F7B" w:rsidR="00674181" w:rsidRPr="00674181" w:rsidRDefault="00674181" w:rsidP="00F94553">
            <w:pPr>
              <w:pStyle w:val="BodyText"/>
              <w:spacing w:after="0" w:line="276" w:lineRule="auto"/>
              <w:ind w:right="172"/>
              <w:jc w:val="both"/>
              <w:rPr>
                <w:i/>
                <w:iCs/>
              </w:rPr>
            </w:pPr>
            <w:r w:rsidRPr="00674181">
              <w:rPr>
                <w:i/>
                <w:iCs/>
              </w:rPr>
              <w:t>“05% of the Payment shall be made upon submission of Quality Management Program or Design Calculation certified by a Chartered Mechanical Engineer”</w:t>
            </w:r>
          </w:p>
        </w:tc>
        <w:tc>
          <w:tcPr>
            <w:tcW w:w="5400" w:type="dxa"/>
          </w:tcPr>
          <w:p w14:paraId="47E48867" w14:textId="1ABF05FE" w:rsidR="00321E41" w:rsidRDefault="00674181" w:rsidP="00F94553">
            <w:pPr>
              <w:pStyle w:val="BodyText"/>
              <w:spacing w:line="276" w:lineRule="auto"/>
              <w:ind w:right="172"/>
              <w:jc w:val="both"/>
            </w:pPr>
            <w:r>
              <w:t>Insert the following para as the second para of 2.2</w:t>
            </w:r>
          </w:p>
          <w:p w14:paraId="0F26F84D" w14:textId="4BD8CDD4" w:rsidR="00674181" w:rsidRPr="00674181" w:rsidRDefault="00674181" w:rsidP="00F94553">
            <w:pPr>
              <w:pStyle w:val="BodyText"/>
              <w:spacing w:line="276" w:lineRule="auto"/>
              <w:ind w:right="172"/>
              <w:jc w:val="both"/>
              <w:rPr>
                <w:i/>
                <w:iCs/>
              </w:rPr>
            </w:pPr>
            <w:r w:rsidRPr="00674181">
              <w:rPr>
                <w:i/>
                <w:iCs/>
              </w:rPr>
              <w:t>“05% of the Payment shall be made upon submission of Design Calculation certified by a Chartered Mechanical Engineer”</w:t>
            </w:r>
          </w:p>
        </w:tc>
      </w:tr>
    </w:tbl>
    <w:p w14:paraId="2323C1F3" w14:textId="77777777" w:rsidR="00565C2C" w:rsidRDefault="00565C2C" w:rsidP="00565C2C">
      <w:pPr>
        <w:pStyle w:val="BodyText"/>
        <w:widowControl w:val="0"/>
        <w:spacing w:after="0" w:line="359" w:lineRule="auto"/>
        <w:ind w:right="170"/>
        <w:rPr>
          <w:rFonts w:ascii="Calibri" w:eastAsia="Calibri" w:hAnsi="Calibri" w:cs="Iskoola Pota"/>
          <w:sz w:val="24"/>
          <w:szCs w:val="24"/>
          <w:lang w:bidi="ar-SA"/>
        </w:rPr>
      </w:pPr>
    </w:p>
    <w:p w14:paraId="2DD44279" w14:textId="77777777" w:rsidR="007C472E" w:rsidRPr="00C90F60" w:rsidRDefault="007C472E" w:rsidP="00C90F60">
      <w:pPr>
        <w:pStyle w:val="BodyText"/>
        <w:widowControl w:val="0"/>
        <w:spacing w:after="0" w:line="359" w:lineRule="auto"/>
        <w:ind w:left="2160" w:right="170" w:firstLine="720"/>
        <w:rPr>
          <w:rFonts w:ascii="Calibri" w:eastAsia="Calibri" w:hAnsi="Calibri" w:cs="Iskoola Pota"/>
          <w:sz w:val="24"/>
          <w:szCs w:val="24"/>
          <w:lang w:bidi="ar-SA"/>
        </w:rPr>
      </w:pPr>
    </w:p>
    <w:p w14:paraId="4306E277" w14:textId="77777777" w:rsidR="00C90F60" w:rsidRDefault="00C90F60" w:rsidP="00C90F60">
      <w:pPr>
        <w:ind w:firstLine="720"/>
      </w:pPr>
    </w:p>
    <w:sectPr w:rsidR="00C90F60" w:rsidSect="0038002C">
      <w:headerReference w:type="default" r:id="rId7"/>
      <w:pgSz w:w="16839" w:h="11907" w:orient="landscape" w:code="9"/>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E736B" w14:textId="77777777" w:rsidR="00A45D71" w:rsidRDefault="00A45D71" w:rsidP="00735D19">
      <w:pPr>
        <w:spacing w:after="0" w:line="240" w:lineRule="auto"/>
      </w:pPr>
      <w:r>
        <w:separator/>
      </w:r>
    </w:p>
  </w:endnote>
  <w:endnote w:type="continuationSeparator" w:id="0">
    <w:p w14:paraId="143A5251" w14:textId="77777777" w:rsidR="00A45D71" w:rsidRDefault="00A45D71" w:rsidP="0073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A1688" w14:textId="77777777" w:rsidR="00A45D71" w:rsidRDefault="00A45D71" w:rsidP="00735D19">
      <w:pPr>
        <w:spacing w:after="0" w:line="240" w:lineRule="auto"/>
      </w:pPr>
      <w:r>
        <w:separator/>
      </w:r>
    </w:p>
  </w:footnote>
  <w:footnote w:type="continuationSeparator" w:id="0">
    <w:p w14:paraId="54AA84B2" w14:textId="77777777" w:rsidR="00A45D71" w:rsidRDefault="00A45D71" w:rsidP="00735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A26EF" w14:textId="1985D391" w:rsidR="00735D19" w:rsidRDefault="00321E41" w:rsidP="00735D19">
    <w:pPr>
      <w:pStyle w:val="Header"/>
      <w:jc w:val="right"/>
    </w:pPr>
    <w:r>
      <w:t>B/16/2024</w:t>
    </w:r>
  </w:p>
  <w:p w14:paraId="57970145" w14:textId="5704FDE3" w:rsidR="00321E41" w:rsidRDefault="00321E41" w:rsidP="00735D19">
    <w:pPr>
      <w:pStyle w:val="Header"/>
      <w:jc w:val="right"/>
    </w:pPr>
    <w:r w:rsidRPr="00321E41">
      <w:t>FABRICATION AND SUPPLY OF 20 NOS. OF MANHOLES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77DBC"/>
    <w:multiLevelType w:val="hybridMultilevel"/>
    <w:tmpl w:val="273A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10E19"/>
    <w:multiLevelType w:val="hybridMultilevel"/>
    <w:tmpl w:val="2788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E6297"/>
    <w:multiLevelType w:val="hybridMultilevel"/>
    <w:tmpl w:val="1E726D0A"/>
    <w:lvl w:ilvl="0" w:tplc="BAC49428">
      <w:start w:val="1"/>
      <w:numFmt w:val="lowerLetter"/>
      <w:lvlText w:val="(%1)"/>
      <w:lvlJc w:val="left"/>
      <w:pPr>
        <w:ind w:left="118" w:hanging="291"/>
      </w:pPr>
      <w:rPr>
        <w:rFonts w:ascii="Calibri" w:eastAsia="Calibri" w:hAnsi="Calibri"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53DE2"/>
    <w:multiLevelType w:val="hybridMultilevel"/>
    <w:tmpl w:val="8E7486D2"/>
    <w:lvl w:ilvl="0" w:tplc="B8587E14">
      <w:start w:val="1"/>
      <w:numFmt w:val="lowerLetter"/>
      <w:lvlText w:val="(%1)"/>
      <w:lvlJc w:val="left"/>
      <w:pPr>
        <w:ind w:left="118" w:hanging="293"/>
      </w:pPr>
      <w:rPr>
        <w:rFonts w:ascii="Calibri" w:eastAsia="Calibri" w:hAnsi="Calibri" w:hint="default"/>
        <w:spacing w:val="-1"/>
        <w:sz w:val="22"/>
        <w:szCs w:val="22"/>
      </w:rPr>
    </w:lvl>
    <w:lvl w:ilvl="1" w:tplc="44DC424C">
      <w:start w:val="1"/>
      <w:numFmt w:val="decimal"/>
      <w:lvlText w:val="(%2)"/>
      <w:lvlJc w:val="left"/>
      <w:pPr>
        <w:ind w:left="118" w:hanging="312"/>
      </w:pPr>
      <w:rPr>
        <w:rFonts w:ascii="Calibri" w:eastAsia="Calibri" w:hAnsi="Calibri" w:hint="default"/>
        <w:spacing w:val="-1"/>
        <w:sz w:val="22"/>
        <w:szCs w:val="22"/>
      </w:rPr>
    </w:lvl>
    <w:lvl w:ilvl="2" w:tplc="BAC49428">
      <w:start w:val="1"/>
      <w:numFmt w:val="lowerLetter"/>
      <w:lvlText w:val="(%3)"/>
      <w:lvlJc w:val="left"/>
      <w:pPr>
        <w:ind w:left="118" w:hanging="291"/>
      </w:pPr>
      <w:rPr>
        <w:rFonts w:ascii="Calibri" w:eastAsia="Calibri" w:hAnsi="Calibri" w:hint="default"/>
        <w:spacing w:val="-1"/>
        <w:sz w:val="22"/>
        <w:szCs w:val="22"/>
      </w:rPr>
    </w:lvl>
    <w:lvl w:ilvl="3" w:tplc="51E42900">
      <w:start w:val="1"/>
      <w:numFmt w:val="bullet"/>
      <w:lvlText w:val="•"/>
      <w:lvlJc w:val="left"/>
      <w:pPr>
        <w:ind w:left="2450" w:hanging="291"/>
      </w:pPr>
      <w:rPr>
        <w:rFonts w:hint="default"/>
      </w:rPr>
    </w:lvl>
    <w:lvl w:ilvl="4" w:tplc="6D023FB8">
      <w:start w:val="1"/>
      <w:numFmt w:val="bullet"/>
      <w:lvlText w:val="•"/>
      <w:lvlJc w:val="left"/>
      <w:pPr>
        <w:ind w:left="3449" w:hanging="291"/>
      </w:pPr>
      <w:rPr>
        <w:rFonts w:hint="default"/>
      </w:rPr>
    </w:lvl>
    <w:lvl w:ilvl="5" w:tplc="0994DB6C">
      <w:start w:val="1"/>
      <w:numFmt w:val="bullet"/>
      <w:lvlText w:val="•"/>
      <w:lvlJc w:val="left"/>
      <w:pPr>
        <w:ind w:left="4449" w:hanging="291"/>
      </w:pPr>
      <w:rPr>
        <w:rFonts w:hint="default"/>
      </w:rPr>
    </w:lvl>
    <w:lvl w:ilvl="6" w:tplc="3B0C8336">
      <w:start w:val="1"/>
      <w:numFmt w:val="bullet"/>
      <w:lvlText w:val="•"/>
      <w:lvlJc w:val="left"/>
      <w:pPr>
        <w:ind w:left="5448" w:hanging="291"/>
      </w:pPr>
      <w:rPr>
        <w:rFonts w:hint="default"/>
      </w:rPr>
    </w:lvl>
    <w:lvl w:ilvl="7" w:tplc="56460C26">
      <w:start w:val="1"/>
      <w:numFmt w:val="bullet"/>
      <w:lvlText w:val="•"/>
      <w:lvlJc w:val="left"/>
      <w:pPr>
        <w:ind w:left="6448" w:hanging="291"/>
      </w:pPr>
      <w:rPr>
        <w:rFonts w:hint="default"/>
      </w:rPr>
    </w:lvl>
    <w:lvl w:ilvl="8" w:tplc="943C3852">
      <w:start w:val="1"/>
      <w:numFmt w:val="bullet"/>
      <w:lvlText w:val="•"/>
      <w:lvlJc w:val="left"/>
      <w:pPr>
        <w:ind w:left="7447" w:hanging="291"/>
      </w:pPr>
      <w:rPr>
        <w:rFonts w:hint="default"/>
      </w:rPr>
    </w:lvl>
  </w:abstractNum>
  <w:abstractNum w:abstractNumId="4">
    <w:nsid w:val="639B0DE6"/>
    <w:multiLevelType w:val="hybridMultilevel"/>
    <w:tmpl w:val="E08034F8"/>
    <w:lvl w:ilvl="0" w:tplc="62BAF772">
      <w:start w:val="1"/>
      <w:numFmt w:val="upperLetter"/>
      <w:lvlText w:val="%1"/>
      <w:lvlJc w:val="left"/>
      <w:pPr>
        <w:ind w:left="1441" w:hanging="1284"/>
      </w:pPr>
      <w:rPr>
        <w:rFonts w:ascii="Calibri" w:eastAsia="Calibri" w:hAnsi="Calibri" w:hint="default"/>
        <w:b/>
        <w:bCs/>
        <w:w w:val="99"/>
        <w:sz w:val="24"/>
        <w:szCs w:val="24"/>
      </w:rPr>
    </w:lvl>
    <w:lvl w:ilvl="1" w:tplc="6AE66A02">
      <w:start w:val="1"/>
      <w:numFmt w:val="lowerRoman"/>
      <w:lvlText w:val="%2."/>
      <w:lvlJc w:val="left"/>
      <w:pPr>
        <w:ind w:left="2278" w:hanging="476"/>
        <w:jc w:val="right"/>
      </w:pPr>
      <w:rPr>
        <w:rFonts w:ascii="Calibri" w:eastAsia="Calibri" w:hAnsi="Calibri" w:hint="default"/>
        <w:sz w:val="24"/>
        <w:szCs w:val="24"/>
      </w:rPr>
    </w:lvl>
    <w:lvl w:ilvl="2" w:tplc="63B214D0">
      <w:start w:val="1"/>
      <w:numFmt w:val="bullet"/>
      <w:lvlText w:val="•"/>
      <w:lvlJc w:val="left"/>
      <w:pPr>
        <w:ind w:left="3066" w:hanging="476"/>
      </w:pPr>
      <w:rPr>
        <w:rFonts w:hint="default"/>
      </w:rPr>
    </w:lvl>
    <w:lvl w:ilvl="3" w:tplc="EA94D82A">
      <w:start w:val="1"/>
      <w:numFmt w:val="bullet"/>
      <w:lvlText w:val="•"/>
      <w:lvlJc w:val="left"/>
      <w:pPr>
        <w:ind w:left="3853" w:hanging="476"/>
      </w:pPr>
      <w:rPr>
        <w:rFonts w:hint="default"/>
      </w:rPr>
    </w:lvl>
    <w:lvl w:ilvl="4" w:tplc="52805884">
      <w:start w:val="1"/>
      <w:numFmt w:val="bullet"/>
      <w:lvlText w:val="•"/>
      <w:lvlJc w:val="left"/>
      <w:pPr>
        <w:ind w:left="4641" w:hanging="476"/>
      </w:pPr>
      <w:rPr>
        <w:rFonts w:hint="default"/>
      </w:rPr>
    </w:lvl>
    <w:lvl w:ilvl="5" w:tplc="347A884C">
      <w:start w:val="1"/>
      <w:numFmt w:val="bullet"/>
      <w:lvlText w:val="•"/>
      <w:lvlJc w:val="left"/>
      <w:pPr>
        <w:ind w:left="5428" w:hanging="476"/>
      </w:pPr>
      <w:rPr>
        <w:rFonts w:hint="default"/>
      </w:rPr>
    </w:lvl>
    <w:lvl w:ilvl="6" w:tplc="494E885C">
      <w:start w:val="1"/>
      <w:numFmt w:val="bullet"/>
      <w:lvlText w:val="•"/>
      <w:lvlJc w:val="left"/>
      <w:pPr>
        <w:ind w:left="6216" w:hanging="476"/>
      </w:pPr>
      <w:rPr>
        <w:rFonts w:hint="default"/>
      </w:rPr>
    </w:lvl>
    <w:lvl w:ilvl="7" w:tplc="92F40A5E">
      <w:start w:val="1"/>
      <w:numFmt w:val="bullet"/>
      <w:lvlText w:val="•"/>
      <w:lvlJc w:val="left"/>
      <w:pPr>
        <w:ind w:left="7003" w:hanging="476"/>
      </w:pPr>
      <w:rPr>
        <w:rFonts w:hint="default"/>
      </w:rPr>
    </w:lvl>
    <w:lvl w:ilvl="8" w:tplc="3208C49C">
      <w:start w:val="1"/>
      <w:numFmt w:val="bullet"/>
      <w:lvlText w:val="•"/>
      <w:lvlJc w:val="left"/>
      <w:pPr>
        <w:ind w:left="7791" w:hanging="476"/>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MLI0srAwNDA2tTRT0lEKTi0uzszPAykwqQUARaNsGSwAAAA="/>
  </w:docVars>
  <w:rsids>
    <w:rsidRoot w:val="002D3D6E"/>
    <w:rsid w:val="00003A6C"/>
    <w:rsid w:val="00006DE4"/>
    <w:rsid w:val="00012CB4"/>
    <w:rsid w:val="00065903"/>
    <w:rsid w:val="000B4124"/>
    <w:rsid w:val="000B55A7"/>
    <w:rsid w:val="000D5743"/>
    <w:rsid w:val="000D70C6"/>
    <w:rsid w:val="000F54CD"/>
    <w:rsid w:val="00120D0A"/>
    <w:rsid w:val="00137178"/>
    <w:rsid w:val="00146F32"/>
    <w:rsid w:val="00154FC9"/>
    <w:rsid w:val="00161FD6"/>
    <w:rsid w:val="0018794A"/>
    <w:rsid w:val="001A3778"/>
    <w:rsid w:val="001A77F5"/>
    <w:rsid w:val="001E7554"/>
    <w:rsid w:val="00224562"/>
    <w:rsid w:val="00237A5F"/>
    <w:rsid w:val="00243504"/>
    <w:rsid w:val="002904E3"/>
    <w:rsid w:val="002927E6"/>
    <w:rsid w:val="002D3D6E"/>
    <w:rsid w:val="002F0A3B"/>
    <w:rsid w:val="00321E41"/>
    <w:rsid w:val="003227A7"/>
    <w:rsid w:val="0032648D"/>
    <w:rsid w:val="00327F29"/>
    <w:rsid w:val="003378E7"/>
    <w:rsid w:val="003406B0"/>
    <w:rsid w:val="00343B80"/>
    <w:rsid w:val="0035578B"/>
    <w:rsid w:val="0035721B"/>
    <w:rsid w:val="003577AF"/>
    <w:rsid w:val="003678A5"/>
    <w:rsid w:val="003678DB"/>
    <w:rsid w:val="0038002C"/>
    <w:rsid w:val="0038009D"/>
    <w:rsid w:val="003A4A82"/>
    <w:rsid w:val="003A7958"/>
    <w:rsid w:val="003B064F"/>
    <w:rsid w:val="00405827"/>
    <w:rsid w:val="004171CF"/>
    <w:rsid w:val="00482910"/>
    <w:rsid w:val="005377EC"/>
    <w:rsid w:val="0054230C"/>
    <w:rsid w:val="0056588D"/>
    <w:rsid w:val="00565C2C"/>
    <w:rsid w:val="005666D3"/>
    <w:rsid w:val="00567200"/>
    <w:rsid w:val="00574017"/>
    <w:rsid w:val="005912BA"/>
    <w:rsid w:val="005E3137"/>
    <w:rsid w:val="006009CB"/>
    <w:rsid w:val="0060476D"/>
    <w:rsid w:val="0064214D"/>
    <w:rsid w:val="006433C2"/>
    <w:rsid w:val="0064541F"/>
    <w:rsid w:val="006643DC"/>
    <w:rsid w:val="00674181"/>
    <w:rsid w:val="0068215A"/>
    <w:rsid w:val="006937F7"/>
    <w:rsid w:val="00694A2C"/>
    <w:rsid w:val="006A78AE"/>
    <w:rsid w:val="006B336C"/>
    <w:rsid w:val="006C095E"/>
    <w:rsid w:val="006E5EF0"/>
    <w:rsid w:val="007013C0"/>
    <w:rsid w:val="00710521"/>
    <w:rsid w:val="0071488F"/>
    <w:rsid w:val="0073076C"/>
    <w:rsid w:val="007318DE"/>
    <w:rsid w:val="00735D19"/>
    <w:rsid w:val="007650EE"/>
    <w:rsid w:val="00790637"/>
    <w:rsid w:val="00793AFC"/>
    <w:rsid w:val="00797BD3"/>
    <w:rsid w:val="007A03B4"/>
    <w:rsid w:val="007C472E"/>
    <w:rsid w:val="007F3F34"/>
    <w:rsid w:val="008022B7"/>
    <w:rsid w:val="00805185"/>
    <w:rsid w:val="00821122"/>
    <w:rsid w:val="00826226"/>
    <w:rsid w:val="00866B65"/>
    <w:rsid w:val="0087070A"/>
    <w:rsid w:val="008903C5"/>
    <w:rsid w:val="0089394B"/>
    <w:rsid w:val="008956C5"/>
    <w:rsid w:val="008A60A5"/>
    <w:rsid w:val="008E086E"/>
    <w:rsid w:val="008E3A07"/>
    <w:rsid w:val="00940224"/>
    <w:rsid w:val="00951DA3"/>
    <w:rsid w:val="00960520"/>
    <w:rsid w:val="00981D18"/>
    <w:rsid w:val="009B77E8"/>
    <w:rsid w:val="009E750A"/>
    <w:rsid w:val="00A07155"/>
    <w:rsid w:val="00A179EA"/>
    <w:rsid w:val="00A30597"/>
    <w:rsid w:val="00A33EE1"/>
    <w:rsid w:val="00A45D71"/>
    <w:rsid w:val="00A72292"/>
    <w:rsid w:val="00A97020"/>
    <w:rsid w:val="00AB4565"/>
    <w:rsid w:val="00AC0AF8"/>
    <w:rsid w:val="00AC224D"/>
    <w:rsid w:val="00AC2B7E"/>
    <w:rsid w:val="00AF4B43"/>
    <w:rsid w:val="00B83D5A"/>
    <w:rsid w:val="00BB5133"/>
    <w:rsid w:val="00BB6F74"/>
    <w:rsid w:val="00BD059C"/>
    <w:rsid w:val="00BE5409"/>
    <w:rsid w:val="00C23E4F"/>
    <w:rsid w:val="00C321CD"/>
    <w:rsid w:val="00C577B4"/>
    <w:rsid w:val="00C90F60"/>
    <w:rsid w:val="00CC0E1C"/>
    <w:rsid w:val="00D56986"/>
    <w:rsid w:val="00D65E7C"/>
    <w:rsid w:val="00E13AE9"/>
    <w:rsid w:val="00E15228"/>
    <w:rsid w:val="00E53789"/>
    <w:rsid w:val="00E762E8"/>
    <w:rsid w:val="00E860A8"/>
    <w:rsid w:val="00E97F8F"/>
    <w:rsid w:val="00EA78BB"/>
    <w:rsid w:val="00F062A5"/>
    <w:rsid w:val="00F162AF"/>
    <w:rsid w:val="00F1724C"/>
    <w:rsid w:val="00F94553"/>
    <w:rsid w:val="00FA2FA3"/>
    <w:rsid w:val="00FA67B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A16B8"/>
  <w15:chartTrackingRefBased/>
  <w15:docId w15:val="{0CE37FFE-284A-4A96-88C9-98AA1C87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90F60"/>
    <w:pPr>
      <w:spacing w:after="120"/>
    </w:pPr>
  </w:style>
  <w:style w:type="character" w:customStyle="1" w:styleId="BodyTextChar">
    <w:name w:val="Body Text Char"/>
    <w:basedOn w:val="DefaultParagraphFont"/>
    <w:link w:val="BodyText"/>
    <w:uiPriority w:val="99"/>
    <w:rsid w:val="00C90F60"/>
  </w:style>
  <w:style w:type="table" w:styleId="TableGrid">
    <w:name w:val="Table Grid"/>
    <w:basedOn w:val="TableNormal"/>
    <w:uiPriority w:val="39"/>
    <w:rsid w:val="00565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F8F"/>
    <w:pPr>
      <w:widowControl w:val="0"/>
      <w:spacing w:after="0" w:line="240" w:lineRule="auto"/>
    </w:pPr>
    <w:rPr>
      <w:lang w:bidi="ar-SA"/>
    </w:rPr>
  </w:style>
  <w:style w:type="paragraph" w:styleId="Header">
    <w:name w:val="header"/>
    <w:basedOn w:val="Normal"/>
    <w:link w:val="HeaderChar"/>
    <w:uiPriority w:val="99"/>
    <w:unhideWhenUsed/>
    <w:rsid w:val="00735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D19"/>
  </w:style>
  <w:style w:type="paragraph" w:styleId="Footer">
    <w:name w:val="footer"/>
    <w:basedOn w:val="Normal"/>
    <w:link w:val="FooterChar"/>
    <w:uiPriority w:val="99"/>
    <w:unhideWhenUsed/>
    <w:rsid w:val="00735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D19"/>
  </w:style>
  <w:style w:type="paragraph" w:customStyle="1" w:styleId="Default">
    <w:name w:val="Default"/>
    <w:rsid w:val="00F945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Saradha J.A.M. Karunarathne</dc:creator>
  <cp:keywords/>
  <dc:description/>
  <cp:lastModifiedBy>Inoka N.A.M. Nawarathne</cp:lastModifiedBy>
  <cp:revision>2</cp:revision>
  <dcterms:created xsi:type="dcterms:W3CDTF">2024-03-22T08:22:00Z</dcterms:created>
  <dcterms:modified xsi:type="dcterms:W3CDTF">2024-03-22T08:22:00Z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36534e0f8d94d72abbe3c0813056cbc686ca017e36a842e5eeb0706228766620</vt:lpwstr>
  </property>
</Properties>
</file>